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45" w:rsidRPr="00661DD1" w:rsidRDefault="00661DD1">
      <w:pPr>
        <w:rPr>
          <w:b/>
          <w:i/>
        </w:rPr>
      </w:pPr>
      <w:r w:rsidRPr="00661DD1">
        <w:rPr>
          <w:b/>
          <w:i/>
        </w:rPr>
        <w:t xml:space="preserve">University of Pennsylvania </w:t>
      </w:r>
      <w:r w:rsidR="00321421" w:rsidRPr="00661DD1">
        <w:rPr>
          <w:b/>
          <w:i/>
        </w:rPr>
        <w:t>Abramson Cancer Center clinical trials for patients with pancreatic cancer</w:t>
      </w:r>
    </w:p>
    <w:p w:rsidR="00321421" w:rsidRPr="00272619" w:rsidRDefault="00321421">
      <w:pPr>
        <w:rPr>
          <w:b/>
        </w:rPr>
      </w:pPr>
      <w:r w:rsidRPr="00272619">
        <w:rPr>
          <w:b/>
        </w:rPr>
        <w:t>Highlights</w:t>
      </w:r>
      <w:r w:rsidR="00272619">
        <w:rPr>
          <w:b/>
        </w:rPr>
        <w:t xml:space="preserve"> June 2</w:t>
      </w:r>
      <w:r w:rsidR="00330789">
        <w:rPr>
          <w:b/>
        </w:rPr>
        <w:t>6</w:t>
      </w:r>
      <w:r w:rsidR="00272619">
        <w:rPr>
          <w:b/>
        </w:rPr>
        <w:t>, 2014</w:t>
      </w:r>
    </w:p>
    <w:tbl>
      <w:tblPr>
        <w:tblStyle w:val="TableGrid"/>
        <w:tblW w:w="0" w:type="auto"/>
        <w:tblLook w:val="04A0"/>
      </w:tblPr>
      <w:tblGrid>
        <w:gridCol w:w="3534"/>
        <w:gridCol w:w="3021"/>
        <w:gridCol w:w="3021"/>
      </w:tblGrid>
      <w:tr w:rsidR="00321421" w:rsidTr="00321421">
        <w:tc>
          <w:tcPr>
            <w:tcW w:w="3534" w:type="dxa"/>
          </w:tcPr>
          <w:p w:rsidR="00321421" w:rsidRDefault="00321421">
            <w:r>
              <w:t>Treatment</w:t>
            </w:r>
          </w:p>
        </w:tc>
        <w:tc>
          <w:tcPr>
            <w:tcW w:w="3021" w:type="dxa"/>
          </w:tcPr>
          <w:p w:rsidR="00321421" w:rsidRDefault="00321421">
            <w:r>
              <w:t>Eligible patients</w:t>
            </w:r>
          </w:p>
        </w:tc>
        <w:tc>
          <w:tcPr>
            <w:tcW w:w="3021" w:type="dxa"/>
          </w:tcPr>
          <w:p w:rsidR="00321421" w:rsidRDefault="00321421">
            <w:r>
              <w:t>Status</w:t>
            </w:r>
          </w:p>
        </w:tc>
      </w:tr>
      <w:tr w:rsidR="00321421" w:rsidTr="00321421">
        <w:tc>
          <w:tcPr>
            <w:tcW w:w="3534" w:type="dxa"/>
          </w:tcPr>
          <w:p w:rsidR="00321421" w:rsidRDefault="00321421">
            <w:r>
              <w:t>Chemother</w:t>
            </w:r>
            <w:r w:rsidR="00196DCF">
              <w:t>a</w:t>
            </w:r>
            <w:r>
              <w:t>py plus Vitamin D analogue</w:t>
            </w:r>
          </w:p>
        </w:tc>
        <w:tc>
          <w:tcPr>
            <w:tcW w:w="3021" w:type="dxa"/>
          </w:tcPr>
          <w:p w:rsidR="00321421" w:rsidRDefault="00321421">
            <w:r>
              <w:t>Patients undergoing primary surgical resection</w:t>
            </w:r>
          </w:p>
        </w:tc>
        <w:tc>
          <w:tcPr>
            <w:tcW w:w="3021" w:type="dxa"/>
          </w:tcPr>
          <w:p w:rsidR="00321421" w:rsidRDefault="00321421">
            <w:r>
              <w:t>Open at Penn</w:t>
            </w:r>
            <w:r w:rsidR="001670C6">
              <w:t>*</w:t>
            </w:r>
          </w:p>
        </w:tc>
      </w:tr>
      <w:tr w:rsidR="00321421" w:rsidTr="00321421">
        <w:tc>
          <w:tcPr>
            <w:tcW w:w="3534" w:type="dxa"/>
          </w:tcPr>
          <w:p w:rsidR="00321421" w:rsidRDefault="00B44679" w:rsidP="00196DCF">
            <w:r>
              <w:t>Chemotherapy plus hydoxych</w:t>
            </w:r>
            <w:r w:rsidR="00196DCF">
              <w:t>loro</w:t>
            </w:r>
            <w:r>
              <w:t>quine</w:t>
            </w:r>
          </w:p>
        </w:tc>
        <w:tc>
          <w:tcPr>
            <w:tcW w:w="3021" w:type="dxa"/>
          </w:tcPr>
          <w:p w:rsidR="00321421" w:rsidRDefault="00B44679">
            <w:r>
              <w:t>Patients with metastatic cancer</w:t>
            </w:r>
          </w:p>
        </w:tc>
        <w:tc>
          <w:tcPr>
            <w:tcW w:w="3021" w:type="dxa"/>
          </w:tcPr>
          <w:p w:rsidR="00321421" w:rsidRDefault="00B44679">
            <w:r>
              <w:t>Open</w:t>
            </w:r>
            <w:r w:rsidR="001670C6">
              <w:t xml:space="preserve"> at Penn</w:t>
            </w:r>
          </w:p>
        </w:tc>
      </w:tr>
      <w:tr w:rsidR="00321421" w:rsidTr="00321421">
        <w:tc>
          <w:tcPr>
            <w:tcW w:w="3534" w:type="dxa"/>
          </w:tcPr>
          <w:p w:rsidR="00321421" w:rsidRDefault="00B44679">
            <w:r>
              <w:t>Chemotherapy plus Jak</w:t>
            </w:r>
            <w:r w:rsidR="00330789">
              <w:t>-1</w:t>
            </w:r>
            <w:r>
              <w:t xml:space="preserve"> inhibitor</w:t>
            </w:r>
          </w:p>
        </w:tc>
        <w:tc>
          <w:tcPr>
            <w:tcW w:w="3021" w:type="dxa"/>
          </w:tcPr>
          <w:p w:rsidR="00321421" w:rsidRDefault="00B44679">
            <w:r>
              <w:t>Patients with metastatic cancer</w:t>
            </w:r>
            <w:bookmarkStart w:id="0" w:name="_GoBack"/>
            <w:bookmarkEnd w:id="0"/>
          </w:p>
        </w:tc>
        <w:tc>
          <w:tcPr>
            <w:tcW w:w="3021" w:type="dxa"/>
          </w:tcPr>
          <w:p w:rsidR="00321421" w:rsidRDefault="00B44679">
            <w:r>
              <w:t>Open</w:t>
            </w:r>
            <w:r w:rsidR="001670C6">
              <w:t xml:space="preserve"> at Penn and nationally</w:t>
            </w:r>
          </w:p>
        </w:tc>
      </w:tr>
      <w:tr w:rsidR="00321421" w:rsidTr="00321421">
        <w:tc>
          <w:tcPr>
            <w:tcW w:w="3534" w:type="dxa"/>
          </w:tcPr>
          <w:p w:rsidR="00321421" w:rsidRDefault="00B44679" w:rsidP="00B44679">
            <w:r>
              <w:t>Engineered T cell therapy (mesothelin)</w:t>
            </w:r>
          </w:p>
        </w:tc>
        <w:tc>
          <w:tcPr>
            <w:tcW w:w="3021" w:type="dxa"/>
          </w:tcPr>
          <w:p w:rsidR="00321421" w:rsidRDefault="00B44679">
            <w:r>
              <w:t>Patients with advanced metastatic cancer</w:t>
            </w:r>
          </w:p>
        </w:tc>
        <w:tc>
          <w:tcPr>
            <w:tcW w:w="3021" w:type="dxa"/>
          </w:tcPr>
          <w:p w:rsidR="00321421" w:rsidRDefault="00330789">
            <w:r>
              <w:t>Active but not recruiting</w:t>
            </w:r>
          </w:p>
        </w:tc>
      </w:tr>
      <w:tr w:rsidR="00321421" w:rsidTr="00321421">
        <w:tc>
          <w:tcPr>
            <w:tcW w:w="3534" w:type="dxa"/>
          </w:tcPr>
          <w:p w:rsidR="00321421" w:rsidRDefault="00196DCF">
            <w:r>
              <w:t>PARP inhibitor</w:t>
            </w:r>
          </w:p>
        </w:tc>
        <w:tc>
          <w:tcPr>
            <w:tcW w:w="3021" w:type="dxa"/>
          </w:tcPr>
          <w:p w:rsidR="00321421" w:rsidRDefault="00196DCF">
            <w:r>
              <w:t>Patients with BRCA1 or BRCA2 mutations and advanced metastatic disease</w:t>
            </w:r>
          </w:p>
        </w:tc>
        <w:tc>
          <w:tcPr>
            <w:tcW w:w="3021" w:type="dxa"/>
          </w:tcPr>
          <w:p w:rsidR="00321421" w:rsidRDefault="00196DCF">
            <w:r>
              <w:t>Open</w:t>
            </w:r>
            <w:r w:rsidR="001670C6">
              <w:t xml:space="preserve"> at Penn and internationally</w:t>
            </w:r>
          </w:p>
        </w:tc>
      </w:tr>
      <w:tr w:rsidR="00FD63F9" w:rsidTr="00321421">
        <w:tc>
          <w:tcPr>
            <w:tcW w:w="3534" w:type="dxa"/>
          </w:tcPr>
          <w:p w:rsidR="00FD63F9" w:rsidRDefault="00FD63F9" w:rsidP="00196DCF">
            <w:r>
              <w:t>Gemcitabine chemotherapy vs. FOLFIRINOX chemotherapy</w:t>
            </w:r>
          </w:p>
        </w:tc>
        <w:tc>
          <w:tcPr>
            <w:tcW w:w="3021" w:type="dxa"/>
          </w:tcPr>
          <w:p w:rsidR="00FD63F9" w:rsidRDefault="00FD63F9">
            <w:r>
              <w:t>Patients after primary surgical resection</w:t>
            </w:r>
          </w:p>
        </w:tc>
        <w:tc>
          <w:tcPr>
            <w:tcW w:w="3021" w:type="dxa"/>
          </w:tcPr>
          <w:p w:rsidR="00FD63F9" w:rsidRDefault="00FD63F9" w:rsidP="00196DCF">
            <w:r>
              <w:t>Open</w:t>
            </w:r>
            <w:r w:rsidR="001670C6">
              <w:t xml:space="preserve"> at Penn</w:t>
            </w:r>
          </w:p>
        </w:tc>
      </w:tr>
      <w:tr w:rsidR="00196DCF" w:rsidTr="00321421">
        <w:tc>
          <w:tcPr>
            <w:tcW w:w="3534" w:type="dxa"/>
          </w:tcPr>
          <w:p w:rsidR="00196DCF" w:rsidRDefault="00196DCF" w:rsidP="00196DCF">
            <w:r>
              <w:t>CD40 antibody with chemotherapy</w:t>
            </w:r>
          </w:p>
        </w:tc>
        <w:tc>
          <w:tcPr>
            <w:tcW w:w="3021" w:type="dxa"/>
          </w:tcPr>
          <w:p w:rsidR="00196DCF" w:rsidRDefault="00196DCF">
            <w:r>
              <w:t>Patients with resectable disease</w:t>
            </w:r>
          </w:p>
        </w:tc>
        <w:tc>
          <w:tcPr>
            <w:tcW w:w="3021" w:type="dxa"/>
          </w:tcPr>
          <w:p w:rsidR="00196DCF" w:rsidRDefault="00196DCF" w:rsidP="00196DCF">
            <w:r>
              <w:t>Preclinical studies complete. Initial trial complete. Next trial to open later this winter</w:t>
            </w:r>
            <w:r w:rsidR="001670C6">
              <w:t xml:space="preserve"> at Penn</w:t>
            </w:r>
            <w:r>
              <w:t>*</w:t>
            </w:r>
          </w:p>
        </w:tc>
      </w:tr>
      <w:tr w:rsidR="00272619" w:rsidTr="00321421">
        <w:tc>
          <w:tcPr>
            <w:tcW w:w="3534" w:type="dxa"/>
          </w:tcPr>
          <w:p w:rsidR="00272619" w:rsidRDefault="00272619" w:rsidP="00124E27">
            <w:r>
              <w:t>Radiation plus chemotherapy</w:t>
            </w:r>
          </w:p>
        </w:tc>
        <w:tc>
          <w:tcPr>
            <w:tcW w:w="3021" w:type="dxa"/>
          </w:tcPr>
          <w:p w:rsidR="00272619" w:rsidRDefault="00272619" w:rsidP="00330789">
            <w:r>
              <w:t xml:space="preserve">Patients with </w:t>
            </w:r>
            <w:r w:rsidR="00330789">
              <w:t xml:space="preserve">borderline resectable disease, </w:t>
            </w:r>
            <w:r>
              <w:t xml:space="preserve">or unresectable </w:t>
            </w:r>
            <w:r w:rsidR="00330789">
              <w:t xml:space="preserve">(but not metastatic) </w:t>
            </w:r>
            <w:r>
              <w:t>disease</w:t>
            </w:r>
          </w:p>
        </w:tc>
        <w:tc>
          <w:tcPr>
            <w:tcW w:w="3021" w:type="dxa"/>
          </w:tcPr>
          <w:p w:rsidR="00272619" w:rsidRDefault="00272619" w:rsidP="00124E27">
            <w:r>
              <w:t>Open next month</w:t>
            </w:r>
            <w:r w:rsidR="001670C6">
              <w:t xml:space="preserve"> at Penn</w:t>
            </w:r>
          </w:p>
        </w:tc>
      </w:tr>
      <w:tr w:rsidR="00272619" w:rsidTr="00321421">
        <w:tc>
          <w:tcPr>
            <w:tcW w:w="3534" w:type="dxa"/>
          </w:tcPr>
          <w:p w:rsidR="00272619" w:rsidRDefault="00272619" w:rsidP="00196DCF">
            <w:r>
              <w:t>Combination vaccine with or without checkpoint blockade</w:t>
            </w:r>
          </w:p>
        </w:tc>
        <w:tc>
          <w:tcPr>
            <w:tcW w:w="3021" w:type="dxa"/>
          </w:tcPr>
          <w:p w:rsidR="00272619" w:rsidRDefault="00272619">
            <w:r>
              <w:t>Patients with metastatic disease</w:t>
            </w:r>
          </w:p>
        </w:tc>
        <w:tc>
          <w:tcPr>
            <w:tcW w:w="3021" w:type="dxa"/>
          </w:tcPr>
          <w:p w:rsidR="00272619" w:rsidRDefault="00272619">
            <w:r>
              <w:t>To open later this fall</w:t>
            </w:r>
            <w:r w:rsidR="001670C6">
              <w:t xml:space="preserve"> at Penn</w:t>
            </w:r>
            <w:r>
              <w:t>*</w:t>
            </w:r>
          </w:p>
        </w:tc>
      </w:tr>
      <w:tr w:rsidR="00272619" w:rsidTr="00321421">
        <w:tc>
          <w:tcPr>
            <w:tcW w:w="3534" w:type="dxa"/>
          </w:tcPr>
          <w:p w:rsidR="00272619" w:rsidRDefault="00272619" w:rsidP="00196DCF">
            <w:r>
              <w:t>Tumor</w:t>
            </w:r>
            <w:r w:rsidR="001670C6">
              <w:t xml:space="preserve"> antigen</w:t>
            </w:r>
            <w:r>
              <w:t xml:space="preserve"> vaccine</w:t>
            </w:r>
          </w:p>
        </w:tc>
        <w:tc>
          <w:tcPr>
            <w:tcW w:w="3021" w:type="dxa"/>
          </w:tcPr>
          <w:p w:rsidR="00272619" w:rsidRDefault="00272619">
            <w:r>
              <w:t>Patients in remission after surgery and adjuvant therapy</w:t>
            </w:r>
          </w:p>
        </w:tc>
        <w:tc>
          <w:tcPr>
            <w:tcW w:w="3021" w:type="dxa"/>
          </w:tcPr>
          <w:p w:rsidR="00272619" w:rsidRDefault="00272619">
            <w:r>
              <w:t>To open later this fall</w:t>
            </w:r>
            <w:r w:rsidR="001670C6">
              <w:t xml:space="preserve"> at Penn</w:t>
            </w:r>
          </w:p>
        </w:tc>
      </w:tr>
      <w:tr w:rsidR="00272619" w:rsidTr="00321421">
        <w:tc>
          <w:tcPr>
            <w:tcW w:w="3534" w:type="dxa"/>
          </w:tcPr>
          <w:p w:rsidR="00272619" w:rsidRDefault="00272619">
            <w:r>
              <w:t>Radiation plus checkpoint blockade</w:t>
            </w:r>
          </w:p>
        </w:tc>
        <w:tc>
          <w:tcPr>
            <w:tcW w:w="3021" w:type="dxa"/>
          </w:tcPr>
          <w:p w:rsidR="00272619" w:rsidRDefault="00272619">
            <w:r>
              <w:t>Patients with metastatic disease</w:t>
            </w:r>
          </w:p>
        </w:tc>
        <w:tc>
          <w:tcPr>
            <w:tcW w:w="3021" w:type="dxa"/>
          </w:tcPr>
          <w:p w:rsidR="00272619" w:rsidRDefault="00272619">
            <w:r>
              <w:t>Preclinical studies complete</w:t>
            </w:r>
            <w:r w:rsidR="001670C6">
              <w:t>; trial design in progress</w:t>
            </w:r>
          </w:p>
        </w:tc>
      </w:tr>
      <w:tr w:rsidR="00272619" w:rsidTr="00321421">
        <w:tc>
          <w:tcPr>
            <w:tcW w:w="3534" w:type="dxa"/>
          </w:tcPr>
          <w:p w:rsidR="00272619" w:rsidRDefault="00272619" w:rsidP="00124E27"/>
        </w:tc>
        <w:tc>
          <w:tcPr>
            <w:tcW w:w="3021" w:type="dxa"/>
          </w:tcPr>
          <w:p w:rsidR="00272619" w:rsidRDefault="00272619" w:rsidP="00124E27"/>
        </w:tc>
        <w:tc>
          <w:tcPr>
            <w:tcW w:w="3021" w:type="dxa"/>
          </w:tcPr>
          <w:p w:rsidR="00272619" w:rsidRDefault="00272619" w:rsidP="00124E27"/>
        </w:tc>
      </w:tr>
    </w:tbl>
    <w:p w:rsidR="00321421" w:rsidRDefault="00321421" w:rsidP="00272619">
      <w:pPr>
        <w:pStyle w:val="ListParagraph"/>
      </w:pPr>
    </w:p>
    <w:p w:rsidR="001670C6" w:rsidRDefault="001670C6" w:rsidP="001670C6">
      <w:pPr>
        <w:pStyle w:val="ListParagraph"/>
      </w:pPr>
      <w:r>
        <w:t>*Funded by one of two grants to Penn from Stand Up to Cancer</w:t>
      </w:r>
    </w:p>
    <w:sectPr w:rsidR="001670C6" w:rsidSect="0029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C9E"/>
    <w:multiLevelType w:val="hybridMultilevel"/>
    <w:tmpl w:val="793EC10A"/>
    <w:lvl w:ilvl="0" w:tplc="1B3057A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452B83"/>
    <w:multiLevelType w:val="hybridMultilevel"/>
    <w:tmpl w:val="47FC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A609C"/>
    <w:multiLevelType w:val="hybridMultilevel"/>
    <w:tmpl w:val="18D03532"/>
    <w:lvl w:ilvl="0" w:tplc="384876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2F01"/>
    <w:rsid w:val="001670C6"/>
    <w:rsid w:val="00196DCF"/>
    <w:rsid w:val="00255A45"/>
    <w:rsid w:val="00272619"/>
    <w:rsid w:val="00297337"/>
    <w:rsid w:val="00321421"/>
    <w:rsid w:val="00330789"/>
    <w:rsid w:val="004971C2"/>
    <w:rsid w:val="00661DD1"/>
    <w:rsid w:val="00832F01"/>
    <w:rsid w:val="00947712"/>
    <w:rsid w:val="00B44679"/>
    <w:rsid w:val="00C0261D"/>
    <w:rsid w:val="00FB1CC9"/>
    <w:rsid w:val="00FB4DCE"/>
    <w:rsid w:val="00FD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421"/>
    <w:pPr>
      <w:ind w:left="720"/>
      <w:contextualSpacing/>
    </w:pPr>
  </w:style>
  <w:style w:type="table" w:styleId="TableGrid">
    <w:name w:val="Table Grid"/>
    <w:basedOn w:val="TableNormal"/>
    <w:uiPriority w:val="59"/>
    <w:rsid w:val="0032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B1CC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1CC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421"/>
    <w:pPr>
      <w:ind w:left="720"/>
      <w:contextualSpacing/>
    </w:pPr>
  </w:style>
  <w:style w:type="table" w:styleId="TableGrid">
    <w:name w:val="Table Grid"/>
    <w:basedOn w:val="TableNormal"/>
    <w:uiPriority w:val="59"/>
    <w:rsid w:val="0032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AFCRI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Vonderheide</dc:creator>
  <cp:lastModifiedBy>Don Sapatkin</cp:lastModifiedBy>
  <cp:revision>3</cp:revision>
  <dcterms:created xsi:type="dcterms:W3CDTF">2014-07-09T21:57:00Z</dcterms:created>
  <dcterms:modified xsi:type="dcterms:W3CDTF">2014-07-12T07:25:00Z</dcterms:modified>
</cp:coreProperties>
</file>